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Default="00EF04F5" w:rsidP="00EF04F5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F04F5" w:rsidRDefault="00EF04F5" w:rsidP="00EF04F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EF04F5" w:rsidRDefault="00EF04F5" w:rsidP="00EF04F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701F35" w:rsidRDefault="00701F35" w:rsidP="00701F3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37D99">
        <w:rPr>
          <w:rFonts w:ascii="Times New Roman" w:hAnsi="Times New Roman"/>
          <w:sz w:val="24"/>
          <w:szCs w:val="24"/>
        </w:rPr>
        <w:t>от _</w:t>
      </w:r>
      <w:r w:rsidR="00337D99" w:rsidRPr="00337D99">
        <w:rPr>
          <w:rFonts w:ascii="Times New Roman" w:hAnsi="Times New Roman"/>
          <w:sz w:val="24"/>
          <w:szCs w:val="24"/>
          <w:u w:val="single"/>
        </w:rPr>
        <w:t>04.09.2018</w:t>
      </w:r>
      <w:r w:rsidR="00720284" w:rsidRPr="00337D99">
        <w:rPr>
          <w:rFonts w:ascii="Times New Roman" w:hAnsi="Times New Roman"/>
          <w:sz w:val="24"/>
          <w:szCs w:val="24"/>
        </w:rPr>
        <w:t>_</w:t>
      </w:r>
      <w:r w:rsidRPr="00337D99">
        <w:rPr>
          <w:rFonts w:ascii="Times New Roman" w:hAnsi="Times New Roman"/>
          <w:sz w:val="24"/>
          <w:szCs w:val="24"/>
        </w:rPr>
        <w:t>_N__</w:t>
      </w:r>
      <w:r w:rsidR="00337D99" w:rsidRPr="00337D99">
        <w:rPr>
          <w:rFonts w:ascii="Times New Roman" w:hAnsi="Times New Roman"/>
          <w:sz w:val="24"/>
          <w:szCs w:val="24"/>
          <w:u w:val="single"/>
        </w:rPr>
        <w:t>239-п</w:t>
      </w:r>
      <w:r w:rsidR="00720284" w:rsidRPr="00337D99">
        <w:rPr>
          <w:rFonts w:ascii="Times New Roman" w:hAnsi="Times New Roman"/>
          <w:sz w:val="24"/>
          <w:szCs w:val="24"/>
        </w:rPr>
        <w:t>_</w:t>
      </w:r>
      <w:r w:rsidRPr="00337D99">
        <w:rPr>
          <w:rFonts w:ascii="Times New Roman" w:hAnsi="Times New Roman"/>
          <w:sz w:val="24"/>
          <w:szCs w:val="24"/>
        </w:rPr>
        <w:t>_</w:t>
      </w:r>
    </w:p>
    <w:p w:rsidR="00EF04F5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C9150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EF04F5" w:rsidRPr="00C9150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ПРАВОПРИМЕНИТЕЛЬНОЙ ПРАКТИКИ </w:t>
      </w:r>
      <w:proofErr w:type="gramEnd"/>
    </w:p>
    <w:p w:rsidR="00EF04F5" w:rsidRPr="00C9150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КОНТРОЛЬНО-НАДЗОРНОЙ ДЕЯТЕЛЬНОСТИ ВСАХАЛИНСКОМ УПРАВЛЕНИИ ФЕДЕРАЛЬНОЙ СЛУЖБЫ</w:t>
      </w: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ЭКОЛОГИЧЕСКОМУ, ТЕХНОЛОГИЧЕСКОМУ И АТОМНОМУ НАДЗОРУ В ОБЛАСТИ </w:t>
      </w:r>
    </w:p>
    <w:p w:rsidR="00EF04F5" w:rsidRPr="00C9150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ЭНЕРГЕТИЧЕСКОГО НАДЗОРА И </w:t>
      </w:r>
      <w:r w:rsidRPr="00C9150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НАДЗОРА ЗА СОБЛЮДЕНИЕМ ЗАКОНОДАТЕЛЬСТВА</w:t>
      </w:r>
      <w:r w:rsidRPr="00C9150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br/>
        <w:t xml:space="preserve">ОБ ЭНЕРГОСБЕРЕЖЕНИИ И ПОВЫШЕНИИ ЭНЕРГЕТИЧЕСКОЙ ЭФФЕКТИВНОСТИ </w:t>
      </w: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2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96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</w:t>
      </w:r>
      <w:r w:rsidR="0072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</w:t>
      </w: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(со статистикой типовых и массовых нарушений обязательных</w:t>
      </w: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 требований с возможными мероприятиями по их устранению)</w:t>
      </w:r>
    </w:p>
    <w:p w:rsidR="00EF04F5" w:rsidRPr="008B5C71" w:rsidRDefault="00EF04F5" w:rsidP="00EF04F5">
      <w:pPr>
        <w:spacing w:after="0" w:line="360" w:lineRule="auto"/>
        <w:ind w:left="513" w:right="57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8B5C71" w:rsidRDefault="00EF04F5" w:rsidP="00EF04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EF04F5" w:rsidRPr="00326796" w:rsidRDefault="00EF04F5" w:rsidP="00EF04F5">
      <w:pPr>
        <w:rPr>
          <w:lang w:eastAsia="ru-RU"/>
        </w:rPr>
      </w:pPr>
      <w:bookmarkStart w:id="1" w:name="_Toc478055554"/>
    </w:p>
    <w:bookmarkEnd w:id="1"/>
    <w:p w:rsidR="00720284" w:rsidRDefault="00720284" w:rsidP="00720284">
      <w:pPr>
        <w:pStyle w:val="3"/>
        <w:spacing w:before="120"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Электрические станции, котельные, электрические</w:t>
      </w:r>
    </w:p>
    <w:p w:rsidR="00720284" w:rsidRPr="008B5C71" w:rsidRDefault="00720284" w:rsidP="00720284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и тепловые установки и сети</w:t>
      </w:r>
    </w:p>
    <w:p w:rsidR="00720284" w:rsidRPr="008B5C71" w:rsidRDefault="00720284" w:rsidP="00720284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поднадзорных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Сахалинскому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управлению Ростехнадзора организаций составляет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9723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них: </w:t>
      </w:r>
    </w:p>
    <w:tbl>
      <w:tblPr>
        <w:tblW w:w="10505" w:type="dxa"/>
        <w:tblInd w:w="93" w:type="dxa"/>
        <w:tblLook w:val="04A0"/>
      </w:tblPr>
      <w:tblGrid>
        <w:gridCol w:w="6678"/>
        <w:gridCol w:w="567"/>
        <w:gridCol w:w="2693"/>
        <w:gridCol w:w="567"/>
      </w:tblGrid>
      <w:tr w:rsidR="00720284" w:rsidRPr="008B5C71" w:rsidTr="00FF391C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before="120" w:after="120" w:line="276" w:lineRule="auto"/>
              <w:ind w:firstLine="61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720284" w:rsidRPr="008B5C71" w:rsidTr="00FF391C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Тепловых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; </w:t>
            </w:r>
          </w:p>
        </w:tc>
      </w:tr>
      <w:tr w:rsidR="00720284" w:rsidRPr="008B5C71" w:rsidTr="00FF391C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Газотурбинных (</w:t>
            </w:r>
            <w:proofErr w:type="spellStart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газопоршневых</w:t>
            </w:r>
            <w:proofErr w:type="spellEnd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)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- 1; </w:t>
            </w:r>
          </w:p>
        </w:tc>
      </w:tr>
      <w:tr w:rsidR="00720284" w:rsidRPr="008B5C71" w:rsidTr="00FF391C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61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.; </w:t>
            </w:r>
          </w:p>
        </w:tc>
      </w:tr>
      <w:tr w:rsidR="00720284" w:rsidRPr="008B5C71" w:rsidTr="00FF391C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Гидроэлектростанций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; </w:t>
            </w:r>
          </w:p>
        </w:tc>
      </w:tr>
      <w:tr w:rsidR="00720284" w:rsidRPr="008B5C71" w:rsidTr="00FF391C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Котельных всего,                                                               </w:t>
            </w:r>
          </w:p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720284" w:rsidRPr="008B5C71" w:rsidRDefault="00720284" w:rsidP="00FF391C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370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720284" w:rsidRPr="008B5C71" w:rsidTr="00FF391C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производственных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20284" w:rsidRPr="008B5C71" w:rsidRDefault="00720284" w:rsidP="00FF391C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19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720284" w:rsidRPr="008B5C71" w:rsidTr="00FF391C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отопительно-производственных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20284" w:rsidRPr="008B5C71" w:rsidRDefault="00720284" w:rsidP="00FF391C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7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720284" w:rsidRPr="008B5C71" w:rsidTr="00FF391C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отопительных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20284" w:rsidRPr="008B5C71" w:rsidRDefault="00720284" w:rsidP="00FF391C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344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720284" w:rsidRPr="008B5C71" w:rsidTr="00FF391C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Протяженность тепловых сетей (в двухтрубном исчислении), </w:t>
            </w:r>
            <w:proofErr w:type="gramStart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1013,04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720284" w:rsidRPr="008B5C71" w:rsidTr="00FF391C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Протяженность линий электропередачи всего, 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br/>
              <w:t>в том числе: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720284" w:rsidRPr="008B5C71" w:rsidRDefault="00720284" w:rsidP="00FF391C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19840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720284" w:rsidRPr="008B5C71" w:rsidTr="00FF391C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до 1 кВ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12300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720284" w:rsidRPr="008B5C71" w:rsidTr="00FF391C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выше 1 до 110 кВ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6702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720284" w:rsidRPr="008B5C71" w:rsidTr="00FF391C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220 кВ и выше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838 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км;</w:t>
            </w:r>
          </w:p>
        </w:tc>
      </w:tr>
      <w:tr w:rsidR="00720284" w:rsidRPr="008B5C71" w:rsidTr="00FF391C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Электрических подстанций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20284" w:rsidRPr="008B5C71" w:rsidRDefault="00720284" w:rsidP="00FF391C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5039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ед.; </w:t>
            </w:r>
          </w:p>
        </w:tc>
      </w:tr>
      <w:tr w:rsidR="00720284" w:rsidRPr="008B5C71" w:rsidTr="00FF391C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</w:tcPr>
          <w:p w:rsidR="00720284" w:rsidRPr="008B5C71" w:rsidRDefault="00720284" w:rsidP="00FF391C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Потребителей электрической энергии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720284" w:rsidRPr="008B5C71" w:rsidRDefault="00720284" w:rsidP="00FF391C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810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  <w:p w:rsidR="00720284" w:rsidRPr="008B5C71" w:rsidRDefault="00720284" w:rsidP="00FF391C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720284" w:rsidRPr="008B5C71" w:rsidRDefault="00720284" w:rsidP="00FF391C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720284" w:rsidRPr="008B5C71" w:rsidRDefault="00720284" w:rsidP="0072028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Потребителей тепловой энергии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3439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0284" w:rsidRDefault="00720284" w:rsidP="00720284">
      <w:pPr>
        <w:pStyle w:val="2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284" w:rsidRDefault="00720284" w:rsidP="00720284">
      <w:pPr>
        <w:pStyle w:val="2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D9">
        <w:rPr>
          <w:rFonts w:ascii="Times New Roman" w:hAnsi="Times New Roman" w:cs="Times New Roman"/>
          <w:bCs/>
          <w:sz w:val="26"/>
          <w:szCs w:val="26"/>
        </w:rPr>
        <w:t xml:space="preserve">На объектах, подконтрольных государственному энергетическому надзору, за </w:t>
      </w:r>
      <w:r w:rsidRPr="00B139D9">
        <w:rPr>
          <w:rFonts w:ascii="Times New Roman" w:eastAsia="Times New Roman" w:hAnsi="Times New Roman" w:cs="Times New Roman"/>
          <w:sz w:val="26"/>
          <w:szCs w:val="26"/>
          <w:lang w:eastAsia="ru-RU"/>
        </w:rPr>
        <w:t>6 месяцев</w:t>
      </w:r>
      <w:r w:rsidRPr="00B139D9">
        <w:rPr>
          <w:rFonts w:ascii="Times New Roman" w:hAnsi="Times New Roman" w:cs="Times New Roman"/>
          <w:bCs/>
          <w:sz w:val="26"/>
          <w:szCs w:val="26"/>
        </w:rPr>
        <w:t xml:space="preserve"> 2018/2017 годов</w:t>
      </w:r>
      <w:r w:rsidRPr="00B1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инспекторским составом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Сахалинского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Ростехнадзора </w:t>
      </w:r>
      <w:r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</w:t>
      </w:r>
      <w:r w:rsidRPr="00E602B5">
        <w:rPr>
          <w:rFonts w:ascii="Times New Roman" w:hAnsi="Times New Roman" w:cs="Times New Roman"/>
          <w:sz w:val="28"/>
          <w:szCs w:val="28"/>
        </w:rPr>
        <w:t>140/117</w:t>
      </w:r>
      <w:r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проверок </w:t>
      </w:r>
      <w:r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контроля организации безопасной эксплуатации и технического состояния оборудования и основных сооружений электростанций,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котельных,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электрических и тепловых сетей </w:t>
      </w:r>
      <w:proofErr w:type="spellStart"/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энергоснабжающих</w:t>
      </w:r>
      <w:proofErr w:type="spellEnd"/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из них</w:t>
      </w:r>
      <w:r w:rsidRPr="00B139D9">
        <w:rPr>
          <w:rFonts w:ascii="Times New Roman" w:hAnsi="Times New Roman" w:cs="Times New Roman"/>
          <w:sz w:val="26"/>
          <w:szCs w:val="26"/>
        </w:rPr>
        <w:t>: плановых – 35/33, внеплановых  105/84</w:t>
      </w:r>
      <w:r w:rsidRPr="00E60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284" w:rsidRPr="00DC60FB" w:rsidRDefault="00720284" w:rsidP="0072028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60FB">
        <w:rPr>
          <w:rFonts w:ascii="Times New Roman" w:hAnsi="Times New Roman" w:cs="Times New Roman"/>
          <w:sz w:val="26"/>
          <w:szCs w:val="26"/>
        </w:rPr>
        <w:t xml:space="preserve">Внеплановые проверки проводились  по заявкам потребителей, на основании обращений граждан  и органов прокуратуры.  </w:t>
      </w:r>
    </w:p>
    <w:p w:rsidR="00720284" w:rsidRPr="00DC60FB" w:rsidRDefault="00720284" w:rsidP="00720284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DC60FB">
        <w:rPr>
          <w:sz w:val="26"/>
          <w:szCs w:val="26"/>
        </w:rPr>
        <w:t>Выявлено 1008/641 нарушений обязательных требований нормативных документов и Правил.</w:t>
      </w:r>
    </w:p>
    <w:p w:rsidR="00720284" w:rsidRPr="00DC60FB" w:rsidRDefault="00720284" w:rsidP="00720284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DC60FB">
        <w:rPr>
          <w:sz w:val="26"/>
          <w:szCs w:val="26"/>
        </w:rPr>
        <w:t xml:space="preserve">Административных наказаний, наложенных по результатам проверок – 130/97, в том числе: </w:t>
      </w:r>
    </w:p>
    <w:p w:rsidR="00720284" w:rsidRPr="00DC60FB" w:rsidRDefault="00720284" w:rsidP="00720284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DC60FB">
        <w:rPr>
          <w:sz w:val="26"/>
          <w:szCs w:val="26"/>
        </w:rPr>
        <w:t>0/1 – временный запрет деятельности;</w:t>
      </w:r>
    </w:p>
    <w:p w:rsidR="00720284" w:rsidRPr="00DC60FB" w:rsidRDefault="00720284" w:rsidP="00720284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DC60FB">
        <w:rPr>
          <w:sz w:val="26"/>
          <w:szCs w:val="26"/>
        </w:rPr>
        <w:t xml:space="preserve">30/13 –в виде предупреждения; </w:t>
      </w:r>
    </w:p>
    <w:p w:rsidR="00720284" w:rsidRPr="00DC60FB" w:rsidRDefault="00720284" w:rsidP="00720284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DC60FB">
        <w:rPr>
          <w:sz w:val="26"/>
          <w:szCs w:val="26"/>
        </w:rPr>
        <w:t xml:space="preserve">100/83 – административный штраф. </w:t>
      </w:r>
    </w:p>
    <w:p w:rsidR="00720284" w:rsidRPr="00DC60FB" w:rsidRDefault="00720284" w:rsidP="00720284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DC60FB">
        <w:rPr>
          <w:sz w:val="26"/>
          <w:szCs w:val="26"/>
        </w:rPr>
        <w:lastRenderedPageBreak/>
        <w:t>Общая сумма наложенных штрафов – 1562 / 1156 тыс. рублей.</w:t>
      </w:r>
    </w:p>
    <w:p w:rsidR="00720284" w:rsidRPr="00DC60FB" w:rsidRDefault="00720284" w:rsidP="00720284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DC60FB">
        <w:rPr>
          <w:sz w:val="26"/>
          <w:szCs w:val="26"/>
        </w:rPr>
        <w:t xml:space="preserve"> Взысканная сумма штрафов -  1023/1058 тыс. рублей. </w:t>
      </w:r>
    </w:p>
    <w:p w:rsidR="00720284" w:rsidRPr="00DC60FB" w:rsidRDefault="00720284" w:rsidP="00720284">
      <w:pPr>
        <w:spacing w:line="360" w:lineRule="auto"/>
        <w:ind w:right="-5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60FB">
        <w:rPr>
          <w:rFonts w:ascii="Times New Roman" w:hAnsi="Times New Roman" w:cs="Times New Roman"/>
          <w:sz w:val="26"/>
          <w:szCs w:val="26"/>
        </w:rPr>
        <w:t>Допущено вновь вводимых и реконструированных энергоустановок  36/47.</w:t>
      </w:r>
    </w:p>
    <w:p w:rsidR="00720284" w:rsidRPr="00DC60FB" w:rsidRDefault="00720284" w:rsidP="00720284">
      <w:pPr>
        <w:pStyle w:val="a7"/>
        <w:spacing w:line="360" w:lineRule="auto"/>
        <w:ind w:firstLine="567"/>
        <w:rPr>
          <w:sz w:val="26"/>
          <w:szCs w:val="26"/>
        </w:rPr>
      </w:pPr>
      <w:r w:rsidRPr="00DC60FB">
        <w:rPr>
          <w:sz w:val="26"/>
          <w:szCs w:val="26"/>
        </w:rPr>
        <w:t xml:space="preserve">В отчетном периоде инспекторский персонал управления принял участие в совместных проверках с органами прокуратуры городов и районов по вопросам </w:t>
      </w:r>
      <w:proofErr w:type="spellStart"/>
      <w:r w:rsidRPr="00DC60FB">
        <w:rPr>
          <w:sz w:val="26"/>
          <w:szCs w:val="26"/>
        </w:rPr>
        <w:t>энергобезопасности</w:t>
      </w:r>
      <w:proofErr w:type="spellEnd"/>
      <w:r w:rsidRPr="00DC60FB">
        <w:rPr>
          <w:sz w:val="26"/>
          <w:szCs w:val="26"/>
        </w:rPr>
        <w:t xml:space="preserve">  на объектах ЖКХ, энергетики и соблюдению требований законодательства о безопасности ГТС.  По результатам совместных проверок рассмотрено 72 дела об административных правонарушениях по ст. 9.2, 9.7, 9.8, 9.10, 9.11,  9.22  </w:t>
      </w:r>
      <w:proofErr w:type="spellStart"/>
      <w:r w:rsidRPr="00DC60FB">
        <w:rPr>
          <w:sz w:val="26"/>
          <w:szCs w:val="26"/>
        </w:rPr>
        <w:t>КоАП</w:t>
      </w:r>
      <w:proofErr w:type="spellEnd"/>
      <w:r w:rsidRPr="00DC60FB">
        <w:rPr>
          <w:sz w:val="26"/>
          <w:szCs w:val="26"/>
        </w:rPr>
        <w:t xml:space="preserve"> РФ, возбужденных прокурорами городов и районов. Наложено 67 административных наказаний, в том числе: 40 штрафов  на сумму – 679 тыс. руб. и по 27 делам вынесены решения об административном взыскании в виде ПРЕДУПРЕЖДЕНИЯ.</w:t>
      </w:r>
    </w:p>
    <w:p w:rsidR="00720284" w:rsidRPr="00D96732" w:rsidRDefault="00720284" w:rsidP="0072028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проверок отмечен низкий уровень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Pr="00D96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неудовлетворительное состояние дел по вопросам: подготовки и повышения квалификации персонала; технического перевооружения и реконструкции электростанций и сетей; обновления основных производственных фондов.</w:t>
      </w:r>
    </w:p>
    <w:p w:rsidR="00720284" w:rsidRPr="00D96732" w:rsidRDefault="00720284" w:rsidP="00720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284" w:rsidRPr="00D96732" w:rsidRDefault="00720284" w:rsidP="007202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Типовые и массовые нарушения за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 месяцев </w:t>
      </w: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720284" w:rsidRPr="00D96732" w:rsidRDefault="00720284" w:rsidP="007202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возможные мероприятия по их устранению</w:t>
      </w:r>
    </w:p>
    <w:p w:rsidR="00720284" w:rsidRPr="00D96732" w:rsidRDefault="00720284" w:rsidP="00720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700"/>
        <w:gridCol w:w="3220"/>
        <w:gridCol w:w="3220"/>
        <w:gridCol w:w="2656"/>
      </w:tblGrid>
      <w:tr w:rsidR="00720284" w:rsidRPr="00050E0B" w:rsidTr="00FF391C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нарушений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нарушенного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НТД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Возможные мероприятия по их устранению</w:t>
            </w:r>
          </w:p>
        </w:tc>
      </w:tr>
      <w:tr w:rsidR="00720284" w:rsidRPr="00050E0B" w:rsidTr="00FF391C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 знаки безопасности и надписи о диспетчерском наименовании на дверках электрощитов.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2.1.9. «Правил технической эксплуатации электроустановок потребителей», утверждённых приказом Минэнерго РФ от 13.01.2003 №6.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Нанести знаки безопасности и надписи о диспетчерском наименовании на дверках электрощитов.</w:t>
            </w:r>
          </w:p>
        </w:tc>
      </w:tr>
      <w:tr w:rsidR="00720284" w:rsidRPr="00050E0B" w:rsidTr="00FF391C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в РУ, РП (</w:t>
            </w:r>
            <w:proofErr w:type="spell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электрощитовых</w:t>
            </w:r>
            <w:proofErr w:type="spell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перечень электрозащитных средств.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 1.2.3., 1.3.9. Инструкции по применению и испытанию средств защиты, используемых в электроустановках, утверждённой приказом  Минэнерго от 30.06.2003 №261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 перечень электрозащитных средств.</w:t>
            </w:r>
          </w:p>
        </w:tc>
      </w:tr>
      <w:tr w:rsidR="00720284" w:rsidRPr="00050E0B" w:rsidTr="00FF391C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очередных испытаний электрозащитных средств, используемых на предприятии, истёк.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1.5.1., приложения 4, 5 Инструкции по применению и испытанию средств защиты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используемых  в электроустано</w:t>
            </w: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вках, утверждённой приказом Минтопэнерго РФ от 30.06.2003 №261.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 проводить испытания средств защиты.</w:t>
            </w:r>
          </w:p>
        </w:tc>
      </w:tr>
      <w:tr w:rsidR="00720284" w:rsidRPr="00050E0B" w:rsidTr="00FF391C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электрохозяйство, назначенный распорядительным документом руководителя организации, не принадлежит к числу руководителей, специалистов.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п.1.2.3. «Правил технической эксплуатации электроустановок потребителей», утверждённых приказом Минэнерго РФ от 13.01.2003 №6.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Назначить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электрохозяйство в соответствии с требованиями Правил. </w:t>
            </w:r>
          </w:p>
        </w:tc>
      </w:tr>
      <w:tr w:rsidR="00720284" w:rsidRPr="00050E0B" w:rsidTr="00FF391C"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 журна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spellStart"/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spell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учета и содержания средств защиты.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1, п.1.4.2. Инструкции по применению и испытанию средств защиты, используемых в электроустановках, утверждённой приказом  Минэнерго от 30 июня 2003 г. N261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 журна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spellStart"/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spell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учета и содержания средств защиты.</w:t>
            </w:r>
          </w:p>
        </w:tc>
      </w:tr>
      <w:tr w:rsidR="00720284" w:rsidRPr="00050E0B" w:rsidTr="00FF391C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Отсутствует перечень должностей, рабочих мест, требующих отнесения производственного персонала к группе по </w:t>
            </w:r>
            <w:proofErr w:type="spell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электробезопасности</w:t>
            </w:r>
            <w:proofErr w:type="spell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 примечаний к приложению №1 Правил по охране труда при эксплуатации электроустановок, утверждённых приказом Минтруда РФ от 24.07.2013 № 328н.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перечень</w:t>
            </w:r>
          </w:p>
        </w:tc>
      </w:tr>
      <w:tr w:rsidR="00720284" w:rsidRPr="00050E0B" w:rsidTr="00FF391C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обеспечен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своевременной аттестацией электротехнического  персонала на квалификационную группу допуска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п.1.2.2 Правил технической эксплуатации электроустановок потребителей,  зарегистрированных в Минюсте России № 4145 от 22.01.2003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Руководителям предприятий обеспечить соблюдение  Правил технической эксплуатации электроустановок потребителей путем организации личного контроля </w:t>
            </w:r>
          </w:p>
        </w:tc>
      </w:tr>
      <w:tr w:rsidR="00720284" w:rsidRPr="00050E0B" w:rsidTr="00FF391C">
        <w:trPr>
          <w:trHeight w:val="30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и внутренних стенках камер ЗРУ, оборудовании ОРУ, лицевых и внутренних частях КРУ наружной и внутренней установки, сборках, а также на лицевой и оборотной сторонах панелей щитов отсутствуют надписи, указывающие назначение присоединений и их диспетчерское наименование.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п.2.2.20 Правил технической эксплуатации электроустановок потребителей,  зарегистрированных в Минюсте России № 4145 от 22.01.2003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84" w:rsidRPr="00050E0B" w:rsidRDefault="00720284" w:rsidP="00FF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Руководителям предприятий обеспечить соблюдение  Правил технической эксплуатации электроустановок потребителей путем организации личного контроля </w:t>
            </w:r>
          </w:p>
        </w:tc>
      </w:tr>
    </w:tbl>
    <w:p w:rsidR="00720284" w:rsidRDefault="00720284" w:rsidP="00720284">
      <w:pPr>
        <w:pStyle w:val="HEADERTEXT"/>
        <w:tabs>
          <w:tab w:val="left" w:pos="709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:rsidR="00720284" w:rsidRDefault="00720284" w:rsidP="00720284">
      <w:pPr>
        <w:pStyle w:val="a4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0284" w:rsidRPr="00770B56" w:rsidRDefault="00720284" w:rsidP="00720284">
      <w:pPr>
        <w:pStyle w:val="a4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6 месяцев </w:t>
      </w:r>
      <w:r w:rsidRPr="00770B56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770B5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770B56">
        <w:rPr>
          <w:rFonts w:ascii="Times New Roman" w:hAnsi="Times New Roman"/>
          <w:sz w:val="26"/>
          <w:szCs w:val="26"/>
        </w:rPr>
        <w:t xml:space="preserve"> на объектах энергетики произошло </w:t>
      </w:r>
      <w:r>
        <w:rPr>
          <w:rFonts w:ascii="Times New Roman" w:hAnsi="Times New Roman"/>
          <w:sz w:val="26"/>
          <w:szCs w:val="26"/>
        </w:rPr>
        <w:t>25</w:t>
      </w:r>
      <w:r w:rsidRPr="00770B56">
        <w:rPr>
          <w:rFonts w:ascii="Times New Roman" w:hAnsi="Times New Roman"/>
          <w:sz w:val="26"/>
          <w:szCs w:val="26"/>
        </w:rPr>
        <w:t xml:space="preserve"> аварий, </w:t>
      </w:r>
      <w:r w:rsidRPr="00797874">
        <w:rPr>
          <w:rFonts w:ascii="Times New Roman" w:hAnsi="Times New Roman"/>
          <w:sz w:val="26"/>
          <w:szCs w:val="26"/>
        </w:rPr>
        <w:t xml:space="preserve">из них расследуемых </w:t>
      </w:r>
      <w:proofErr w:type="spellStart"/>
      <w:r w:rsidRPr="00797874">
        <w:rPr>
          <w:rFonts w:ascii="Times New Roman" w:hAnsi="Times New Roman"/>
          <w:sz w:val="26"/>
          <w:szCs w:val="26"/>
        </w:rPr>
        <w:t>Ростехнадзором</w:t>
      </w:r>
      <w:proofErr w:type="spellEnd"/>
      <w:r>
        <w:rPr>
          <w:rFonts w:ascii="Times New Roman" w:hAnsi="Times New Roman"/>
          <w:sz w:val="26"/>
          <w:szCs w:val="26"/>
        </w:rPr>
        <w:t xml:space="preserve"> - 1</w:t>
      </w:r>
      <w:r w:rsidRPr="00770B56">
        <w:rPr>
          <w:rFonts w:ascii="Times New Roman" w:hAnsi="Times New Roman"/>
          <w:sz w:val="26"/>
          <w:szCs w:val="26"/>
        </w:rPr>
        <w:t xml:space="preserve">.   </w:t>
      </w:r>
    </w:p>
    <w:p w:rsidR="00720284" w:rsidRDefault="00720284" w:rsidP="00720284">
      <w:pPr>
        <w:pStyle w:val="3"/>
        <w:spacing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</w:p>
    <w:p w:rsidR="00720284" w:rsidRPr="008B5C71" w:rsidRDefault="00720284" w:rsidP="00A15F40">
      <w:pPr>
        <w:pStyle w:val="3"/>
        <w:spacing w:line="276" w:lineRule="auto"/>
        <w:ind w:firstLine="540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Предложения по совершенствованию нормативно-правового регулирования и осуществления государственного контроля (надзора) в установленной сфере деятельности</w:t>
      </w:r>
    </w:p>
    <w:p w:rsidR="00720284" w:rsidRPr="008B5C71" w:rsidRDefault="00720284" w:rsidP="00720284">
      <w:pPr>
        <w:tabs>
          <w:tab w:val="left" w:pos="720"/>
        </w:tabs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совершенствования нормативно-правового регулирования в сфере осуществления федерального государственного энергетического надзора необходимо:</w:t>
      </w:r>
    </w:p>
    <w:p w:rsidR="00720284" w:rsidRPr="008B5C71" w:rsidRDefault="00720284" w:rsidP="00720284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На законодательном уровне определить степень </w:t>
      </w:r>
      <w:proofErr w:type="gramStart"/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органов исполнительной власти субъектов Российской Федерации</w:t>
      </w:r>
      <w:proofErr w:type="gramEnd"/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органов местного самоуправления за своевременную и качественную организацию работ по подготовке теплоснабжающих организаций и потребителей тепловой </w:t>
      </w:r>
      <w:r w:rsidR="008A1144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энергии к отопительному периоду.</w:t>
      </w:r>
    </w:p>
    <w:p w:rsidR="009F4D89" w:rsidRDefault="009F4D89" w:rsidP="00720284">
      <w:pPr>
        <w:pStyle w:val="3"/>
        <w:spacing w:before="120" w:line="276" w:lineRule="auto"/>
        <w:jc w:val="center"/>
      </w:pPr>
    </w:p>
    <w:sectPr w:rsidR="009F4D89" w:rsidSect="008B5C7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5167"/>
    <w:multiLevelType w:val="hybridMultilevel"/>
    <w:tmpl w:val="288A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625A7"/>
    <w:multiLevelType w:val="multilevel"/>
    <w:tmpl w:val="7D8A8A0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8"/>
        <w:effect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4F5"/>
    <w:rsid w:val="000E7A37"/>
    <w:rsid w:val="001051EB"/>
    <w:rsid w:val="001A0C96"/>
    <w:rsid w:val="002A7040"/>
    <w:rsid w:val="00337D99"/>
    <w:rsid w:val="003C55D0"/>
    <w:rsid w:val="00502617"/>
    <w:rsid w:val="00596787"/>
    <w:rsid w:val="00650E83"/>
    <w:rsid w:val="006A3A74"/>
    <w:rsid w:val="006F223F"/>
    <w:rsid w:val="00701F35"/>
    <w:rsid w:val="00720284"/>
    <w:rsid w:val="007E2653"/>
    <w:rsid w:val="008A1144"/>
    <w:rsid w:val="009F4D89"/>
    <w:rsid w:val="00A15F40"/>
    <w:rsid w:val="00E12E76"/>
    <w:rsid w:val="00EF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4F5"/>
    <w:pPr>
      <w:spacing w:after="160" w:line="259" w:lineRule="auto"/>
    </w:pPr>
  </w:style>
  <w:style w:type="paragraph" w:styleId="3">
    <w:name w:val="heading 3"/>
    <w:basedOn w:val="a0"/>
    <w:next w:val="a0"/>
    <w:link w:val="30"/>
    <w:uiPriority w:val="9"/>
    <w:unhideWhenUsed/>
    <w:qFormat/>
    <w:rsid w:val="00EF04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EF04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.HEADERTEXT"/>
    <w:uiPriority w:val="99"/>
    <w:rsid w:val="00EF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4">
    <w:name w:val="Plain Text"/>
    <w:basedOn w:val="a0"/>
    <w:link w:val="a5"/>
    <w:uiPriority w:val="99"/>
    <w:rsid w:val="00EF04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uiPriority w:val="99"/>
    <w:rsid w:val="00EF04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Number"/>
    <w:basedOn w:val="a0"/>
    <w:rsid w:val="00EF04F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0"/>
    <w:link w:val="20"/>
    <w:uiPriority w:val="99"/>
    <w:unhideWhenUsed/>
    <w:rsid w:val="00EF04F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EF04F5"/>
  </w:style>
  <w:style w:type="paragraph" w:customStyle="1" w:styleId="pc">
    <w:name w:val="pc"/>
    <w:basedOn w:val="a0"/>
    <w:rsid w:val="00E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EF04F5"/>
    <w:rPr>
      <w:color w:val="0000FF"/>
      <w:u w:val="single"/>
    </w:rPr>
  </w:style>
  <w:style w:type="character" w:customStyle="1" w:styleId="CharStyle6">
    <w:name w:val="Char Style 6"/>
    <w:basedOn w:val="a1"/>
    <w:link w:val="Style5"/>
    <w:rsid w:val="00EF04F5"/>
    <w:rPr>
      <w:sz w:val="23"/>
      <w:szCs w:val="23"/>
      <w:shd w:val="clear" w:color="auto" w:fill="FFFFFF"/>
    </w:rPr>
  </w:style>
  <w:style w:type="paragraph" w:customStyle="1" w:styleId="Style5">
    <w:name w:val="Style 5"/>
    <w:basedOn w:val="a0"/>
    <w:link w:val="CharStyle6"/>
    <w:rsid w:val="00EF04F5"/>
    <w:pPr>
      <w:widowControl w:val="0"/>
      <w:shd w:val="clear" w:color="auto" w:fill="FFFFFF"/>
      <w:spacing w:before="240" w:after="0" w:line="379" w:lineRule="exact"/>
      <w:ind w:firstLine="600"/>
      <w:jc w:val="both"/>
    </w:pPr>
    <w:rPr>
      <w:sz w:val="23"/>
      <w:szCs w:val="23"/>
    </w:rPr>
  </w:style>
  <w:style w:type="character" w:customStyle="1" w:styleId="CharStyle7">
    <w:name w:val="Char Style 7"/>
    <w:basedOn w:val="CharStyle6"/>
    <w:rsid w:val="00EF04F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</w:rPr>
  </w:style>
  <w:style w:type="paragraph" w:customStyle="1" w:styleId="ConsPlusNormal">
    <w:name w:val="ConsPlusNormal"/>
    <w:rsid w:val="00EF04F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Обычный абзац"/>
    <w:basedOn w:val="a0"/>
    <w:uiPriority w:val="99"/>
    <w:rsid w:val="007202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yakukhin</dc:creator>
  <cp:lastModifiedBy>Ivanova</cp:lastModifiedBy>
  <cp:revision>8</cp:revision>
  <cp:lastPrinted>2018-06-07T22:35:00Z</cp:lastPrinted>
  <dcterms:created xsi:type="dcterms:W3CDTF">2018-06-07T23:45:00Z</dcterms:created>
  <dcterms:modified xsi:type="dcterms:W3CDTF">2018-09-10T03:04:00Z</dcterms:modified>
</cp:coreProperties>
</file>